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w:t>
      </w:r>
      <w:r>
        <w:rPr>
          <w:rFonts w:eastAsia="Times New Roman" w:cs="Times New Roman" w:ascii="Times New Roman" w:hAnsi="Times New Roman"/>
          <w:b/>
          <w:bCs/>
          <w:sz w:val="16"/>
          <w:szCs w:val="16"/>
          <w:lang w:eastAsia="ru-RU"/>
        </w:rPr>
        <w:t xml:space="preserve"> Типовые формы документов:</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Договор об осуществлении технологического присоединения к электрическим сетям (для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 в соответствии с Приложением № 1 к «Правилам технологического присоединения…», утвержденным Постановлением Правительства РФ от 27.12.2004 № 861</w:t>
        <w:br/>
        <w:t>- введен ППРФ от 01.03.2011 № 129 (опубликовано "Собрание законодательства РФ", 07.03.2011, № 10, ст. 1406) с изменениями, внесенными ППРФ от 04.05.2012 № 442 (опубликовано "Собрание законодательства РФ", 04.06.2012, № 23, ст. 3008)</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Договор 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 в соответствии с Приложением № 2 к «Правилам технологического присоединения…», утвержденным Постановлением Правительства РФ от 27.12.2004 № 861</w:t>
        <w:br/>
        <w:t>- введен ППРФ от 01.03.2011 № 129 (опубликовано "Собрание законодательства РФ", 07.03.2011, № 10, ст. 1406) с изменениями, внесенными ППРФ от 04.05.2012 № 442 (опубликовано "Собрание законодательства РФ", 04.06.2012, № 23, ст. 3008)</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Договор 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 в соответствии с Приложением № 3 к «Правилам технологического присоединения...», утвержденным Постановлением Правительства РФ от 27.12.2004 № 861</w:t>
        <w:br/>
        <w:t>- введен ППРФ от 01.03.2011 № 129 (опубликовано "Собрание законодательства РФ", 07.03.2011, № 10, ст. 1406) с изменениями, внесенными:</w:t>
        <w:br/>
        <w:t>1. ППРФ от 04.05.2012 № 442 (опубликовано "Собрание законодательства РФ", 04.06.2012, № 23, ст. 3008)</w:t>
        <w:br/>
        <w:t>2. ППРФ от 05.10.2012 № 1015 (опубликовано "Собрание законодательства РФ", 08.10.2012, № 41, ст. 5636; "Российская газета", № 233, 10.10.2012)</w:t>
        <w:br/>
        <w:t>3. ППРФ от 10.02.2014 № 95 (опубликовано "Собрание законодательства РФ", 17.02.2014, № 7, ст. 689)</w:t>
        <w:br/>
        <w:t>4. ППРФ от 20.02.2014 № 130 (опубликовано "Собрание законодательства РФ", 03.03.2014, № 9, ст. 913)</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Договор 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приложениях N 2 и 3, а также осуществления технологического присоединения по индивидуальному проекту)) – в  соответствии с Приложением № 4 к «Правилам технологического присоединения…», утвержденным Постановлением Правительства РФ от 27.12.2004 № 861</w:t>
        <w:br/>
        <w:t>- введен ППРФ от 01.03.2011 № 129 (опубликовано "Собрание законодательства РФ", 07.03.2011, № 10, ст. 1406) с изменениями, внесенными:</w:t>
        <w:br/>
        <w:t>1. ППРФ от 04.05.2012 № 442 (опубликовано "Собрание законодательства РФ", 04.06.2012, № 23, ст. 3008)</w:t>
        <w:br/>
        <w:t>2. ППРФ от 05.10.2012 № 1015 (опубликовано "Собрание законодательства РФ", 08.10.2012, № 41, ст. 5636; "Российская газета", № 233, 10.10.2012)</w:t>
        <w:br/>
        <w:t>3. ППРФ от 20.12.2012 № 1354 (опубликовано "Собрание законодательства РФ", 24.12.2012, № 52, ст. 7525)</w:t>
        <w:br/>
        <w:t>4. ППРФ от 12.10.2013 № 915 (опубликовано "Собрание законодательства РФ", 21.10.2013, № 42, ст. 5373)</w:t>
        <w:br/>
        <w:t>5. ППРФ от 10.02.2014 № 95 (опубликовано "Собрание законодательства РФ", 17.02.2014, № 7, ст. 689)</w:t>
        <w:br/>
        <w:t>6. ППРФ от 20.02.2014 № 130 (опубликовано "Собрание законодательства РФ", 03.03.2014, № 9, ст. 913)</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Типовой договор об осуществлении технологического присоединения к электрическим сетям посредством перераспределения максимальной мощности. </w:t>
        <w:b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12(1),13,14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 – в соответствии с Приложением № 5 к «Правилам технологического присоединения…», утвержденным Постановлением Правительства РФ от 27.12.2004 № 861</w:t>
        <w:br/>
        <w:t>- введен ППРФ от 22.11.2012 № 1209 (опубликовано "Собрание законодательства РФ", 03.12.2012, № 49, ст. 6858)</w:t>
      </w:r>
    </w:p>
    <w:p>
      <w:pPr>
        <w:pStyle w:val="Normal"/>
        <w:widowControl/>
        <w:suppressAutoHyphens w:val="false"/>
        <w:bidi w:val="0"/>
        <w:spacing w:lineRule="auto" w:line="240" w:before="0" w:after="0"/>
        <w:ind w:left="0" w:right="2778" w:hanging="0"/>
        <w:jc w:val="left"/>
        <w:rPr/>
      </w:pPr>
      <w:r>
        <w:rPr>
          <w:rFonts w:eastAsia="Times New Roman" w:cs="Times New Roman" w:ascii="Times New Roman" w:hAnsi="Times New Roman"/>
          <w:sz w:val="16"/>
          <w:szCs w:val="16"/>
          <w:lang w:eastAsia="ru-RU"/>
        </w:rPr>
        <w:t>16. Договор должен содержать следующие существенные условия:</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б) срок осуществления мероприятий по технологическому присоединению, который исчисляется со дня заключения договора и не может превышать:</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4 месяца - для заявителей, максимальная мощность энергопринимающих устройств которых составляет до 670 кВт включительно;</w:t>
      </w:r>
    </w:p>
    <w:p>
      <w:pPr>
        <w:pStyle w:val="Normal"/>
        <w:widowControl/>
        <w:suppressAutoHyphens w:val="false"/>
        <w:bidi w:val="0"/>
        <w:spacing w:lineRule="auto" w:line="240" w:before="0" w:after="0"/>
        <w:ind w:left="0" w:right="2778" w:hanging="0"/>
        <w:jc w:val="left"/>
        <w:rPr/>
      </w:pPr>
      <w:r>
        <w:rPr>
          <w:rFonts w:eastAsia="Times New Roman" w:cs="Times New Roman" w:ascii="Times New Roman" w:hAnsi="Times New Roman"/>
          <w:sz w:val="16"/>
          <w:szCs w:val="16"/>
          <w:lang w:eastAsia="ru-RU"/>
        </w:rPr>
        <w:t>1 год - для заявителей, максимальная мощность энергопринимающих устройств которых составляет свыше 670 кВт;</w:t>
      </w:r>
    </w:p>
    <w:p>
      <w:pPr>
        <w:pStyle w:val="Normal"/>
        <w:widowControl/>
        <w:suppressAutoHyphens w:val="false"/>
        <w:bidi w:val="0"/>
        <w:spacing w:lineRule="auto" w:line="240" w:before="0" w:after="0"/>
        <w:ind w:left="0" w:right="2778" w:hanging="0"/>
        <w:jc w:val="left"/>
        <w:rPr/>
      </w:pPr>
      <w:r>
        <w:rPr>
          <w:rFonts w:eastAsia="Times New Roman" w:cs="Times New Roman" w:ascii="Times New Roman" w:hAnsi="Times New Roman"/>
          <w:sz w:val="16"/>
          <w:szCs w:val="16"/>
          <w:lang w:eastAsia="ru-RU"/>
        </w:rPr>
        <w:t>в иных случаях:</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6 месяцев - для заявителей, указанных в пунктах 12(1), 14 и 34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г) порядок разграничения балансовой принадлежности электрических сетей и эксплуатационной ответственности сторон;</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настоящих Правил);</w:t>
      </w:r>
    </w:p>
    <w:p>
      <w:pPr>
        <w:pStyle w:val="Normal"/>
        <w:widowControl/>
        <w:suppressAutoHyphens w:val="false"/>
        <w:bidi w:val="0"/>
        <w:spacing w:lineRule="auto" w:line="240" w:before="0" w:after="0"/>
        <w:ind w:left="0" w:right="0" w:hanging="0"/>
        <w:jc w:val="left"/>
        <w:rPr/>
      </w:pPr>
      <w:r>
        <w:rPr>
          <w:rFonts w:eastAsia="Times New Roman" w:cs="Times New Roman" w:ascii="Times New Roman" w:hAnsi="Times New Roman"/>
          <w:sz w:val="16"/>
          <w:szCs w:val="16"/>
          <w:lang w:eastAsia="ru-RU"/>
        </w:rPr>
        <w:t>е) порядок и сроки внесения заявителем платы за технологическое присоединение.</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d5f6a"/>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dd5f6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LibreOffice/6.4.7.2$Linux_X86_64 LibreOffice_project/40$Build-2</Application>
  <Pages>2</Pages>
  <Words>1214</Words>
  <Characters>8669</Characters>
  <CharactersWithSpaces>9866</CharactersWithSpaces>
  <Paragraphs>24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2015-04-07T11:04:00Z</dcterms:created>
  <dc:creator>Urist3</dc:creator>
  <dc:description/>
  <dc:language>ru-RU</dc:language>
  <cp:lastModifiedBy/>
  <cp:lastPrinted>2015-04-02T06:10:00Z</cp:lastPrinted>
  <dcterms:modified xsi:type="dcterms:W3CDTF">2021-06-10T08:36:14Z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